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天津百利机械装备集团有限公司</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10</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负责所属4个二级预算单位的预算报表的录入编制及汇总上报，预算资金的申请及拨付，财政文件的转发</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天津百利机械装备集团有限公司</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部门本级（内设14个职能处室）和4个所属预算单位（不含本级），具体构成如下：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1、天津百利机械装备集团有限公司（本级）</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2、天津机电职业技术学院 </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3、天津市机电工艺技师学院 </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4、天津市机械涂层研究所有限责任公司</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5、天津市石化通用机械研究所有限公司</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天津百利机械装备集团有限公司</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363126408.29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418720974.10</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70527362.66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631392.60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4093906.00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15175520.59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30657851.43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26324976.07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16641714.55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18200.00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469564912.09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476353394.20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8796714.92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6559069.32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8809059.12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4258222.61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8809059.12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487170686.13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487170686.13</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469564912.09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363126408.29</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74621268.66</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70527362.66</w:t>
            </w: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15175520.59</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16641714.55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411932491.99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323046460.00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58483726.37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54389820.37</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15175520.59</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15226785.03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411932491.99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323046460.00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58483726.37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54389820.37</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15175520.59</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15226785.03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中等职业教育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10983000.00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10983000.00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技校教育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179780197.80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153384450.00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11758350.00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8100000.00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7525273.92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7112123.88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221169294.19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158679010.00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46725376.37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46289820.37</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7650246.67</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8114661.15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631392.60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631392.60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631392.60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631392.60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2069903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转制科研机构</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631392.60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631392.60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30657851.43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19710081.68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10947769.75</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10947769.75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29183513.43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18235743.68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10947769.75</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10947769.75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行政单位离退休</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2017743.68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2017743.68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18317345.75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10812000.00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7505345.75</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7505345.75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8848424.00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5406000.00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3442424.00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3442424.00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1474338.00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1474338.00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1474338.00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1474338.00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26324976.07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19720274.01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5189772.54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5189772.54</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1414929.52</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26324976.07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19720274.01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5189772.54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5189772.54</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1414929.52</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706800.00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706800.00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19799246.55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14873474.01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4925772.54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4925772.54</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5818929.52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4140000.00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264000.00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264000.00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1414929.52</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天津百利机械装备集团有限公司</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487170686.13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469564912.09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363126408.29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70527362.66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4093906.00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15175520.59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16641714.55</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703908</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天津百利机械装备集团有限公司（本级）</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11929681.68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11929681.68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11929681.68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703201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天津机电职业技术学院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261194481.80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249309966.00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169267210.00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62427362.66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435556.00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7650246.67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9529590.67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703204</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天津市机电工艺技师学院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213415130.05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207693871.81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181298124.01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8100000.00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3658350.00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7525273.92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7112123.88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703910</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天津市石化通用机械研究所有限公司</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405392.60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405392.60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405392.60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703912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天津市机械涂层研究所有限责任公司</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226000.00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226000.00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226000.00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天津百利机械装备集团有限公司</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17605774.04</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17605774.04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17605774.04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703908</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天津百利机械装备集团有限公司（本级）</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703201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天津机电职业技术学院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11884515.80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11884515.80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11884515.80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703204</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天津市机电工艺技师学院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5721258.24</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5721258.24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5721258.24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703910</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天津市石化通用机械研究所有限公司</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703912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天津市机械涂层研究所有限责任公司</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476353394.20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396193022.19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67385340.51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12775031.50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418720974.10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340053140.09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65892802.51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12775031.50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418720974.10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340053140.09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65892802.51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12775031.50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中等职业教育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10983000.00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10983000.00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2050303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技校教育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178167120.38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148722943.65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21918902.81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7525273.92</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2050305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高等职业教育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229570853.72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191330196.44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32990899.70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5249757.58</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631392.60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631392.60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631392.60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631392.60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2069903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转制科研机构</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631392.60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631392.60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30657851.43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29183513.43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1474338.00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29183513.43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29183513.43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行政单位离退休</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2017743.68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2017743.68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18317345.75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18317345.75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8848424.00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8848424.00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1474338.00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1474338.00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1474338.00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1474338.00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26324976.07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26324976.07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26324976.07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26324976.07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706800.00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706800.00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19799246.55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19799246.55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5818929.52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5818929.52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323046460.00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323046460.00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631392.60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631392.60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19710081.68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19710081.68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19720274.01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19720274.01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363126408.29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天津百利机械装备集团有限公司</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363126408.29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302807410.29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250070410.29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52737000.00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60318998.00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323046460.00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264220000.00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211509000.00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52711000.00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58826460.00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20503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323046460.00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264220000.00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211509000.00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52711000.00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58826460.00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2050302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中等职业教育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10983000.00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2050303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技校教育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153384450.00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136091000.00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109290000.00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26801000.00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17293450.00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2050305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高等职业教育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158679010.00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128129000.00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102219000.00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25910000.00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30550010.00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2069903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转制科研机构</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631392.60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19710081.68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18235743.68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18209743.68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1474338.00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18235743.68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18235743.68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18209743.68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行政单位离退休</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2017743.68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2017743.68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1991743.68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10812000.00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10812000.00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10812000.00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1474338.00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1474338.00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1474338.00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1474338.00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19720274.01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19720274.01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19720274.01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19720274.01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19720274.01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19720274.01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706800.00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706800.00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706800.00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14873474.01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14873474.01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14873474.01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4140000.00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18200.00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229107000.00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52734173.10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39500000.00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35275.68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2826.90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16500000.00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1650.00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2574506.68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1176.90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95605000.00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4702324.59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10812000.00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5406000.00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7095000.00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16474000.00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51572000.00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529300.00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20963410.29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2216743.68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6766615.60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2231292.90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349777.00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1205400.00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13459593.88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11608274.01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3443049.68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973397.69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1638032.00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250070410.29</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52737000.00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天津百利机械装备集团有限公司2025年度政府性基金预算财政拨款收入支出决算表为空表。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天津百利机械装备集团有限公司2025年度国有资本经营预算财政拨款收入支出决算表为空表。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天津百利机械装备集团有限公司2025年财政拨款“三公”经费支出决算表为空表。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天津百利机械装备集团有限公司</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67385340.51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60318998.00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7066342.51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65892802.51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58826460.00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7066342.51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65892802.51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58826460.00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7066342.51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中等职业教育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10983000.00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10983000.00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技校教育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21918902.81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17293450.00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4625452.81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高等职业教育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32990899.70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30550010.00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2440889.70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1474338.00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1474338.00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1474338.00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1474338.00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1474338.00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1474338.00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487,170,686.13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减少21,820,625.20元，下降4.29%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天津机电职业技术学院学生人数减少导致收支总计减少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一般公共预算财政拨款收入363,126,408.29元、财政专户管理资金收入70,527,362.66元、事业收入4,093,906.00元、事业单位经营收入15,175,520.59元、其他收入16,641,714.55元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教育支出418,720,974.10元、科学技术支出631,392.60元、社会保障和就业支出30,657,851.43元、卫生健康支出26,324,976.07元、债务付息支出18,200.00元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天津百利机械装备集团有限公司</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469,564,912.09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减少21,002,929.32元，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天津机电职业技术学院学生人数减少导致收入减少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一般公共预算财政拨款收入363,126,408.29元，占77.33%；财政专户管理资金收入70,527,362.66元，占15.02%；事业收入4,093,906.00元，占0.87%；事业单位经营收入15,175,520.59元，占3.23%；其他收入16,641,714.55元，占3.54%</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天津百利机械装备集团有限公司</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476,353,394.20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增加11,418,555.84元，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天津机电职业技术学院基本支出中的非财政拨款人员经费支出增加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基本支出396,193,022.19元，占83.17%；项目支出67,385,340.51元，占14.15%；经营支出12,775,031.50元，占2.68%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363,126,408.29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增加8,168,377.31元，增长2.30%，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天津市机电工艺技师学院在校学生人数增加，支出增加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一般公共预算财政拨款363,126,408.29元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教育支出323,046,460.00元、科学技术支出631,392.60元、社会保障和就业支出19,710,081.68元、卫生健康支出19,720,274.01元、债务付息支出18,200.00元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天津百利机械装备集团有限公司2025年度一般公共预算财政拨款支出合计363,126,408.29元，占本年支出合计的76.23%。与2024年度相比，一般公共预算财政拨款支出</w:t>
      </w:r>
      <w:r>
        <w:rPr>
          <w:rFonts w:eastAsia="仿宋_GB2312" w:hint="eastAsia"/>
          <w:sz w:val="30"/>
          <w:szCs w:val="30"/>
          <w:highlight w:val="none"/>
          <w:lang w:val="en-US" w:eastAsia="zh-CN"/>
        </w:rPr>
        <w:t xml:space="preserve">增加8,168,377.31元</w:t>
      </w:r>
      <w:r>
        <w:rPr>
          <w:rFonts w:eastAsia="仿宋_GB2312" w:hint="eastAsia"/>
          <w:sz w:val="30"/>
          <w:szCs w:val="30"/>
          <w:highlight w:val="none"/>
          <w:lang w:val="en-US" w:eastAsia="zh-CN"/>
        </w:rPr>
        <w:t xml:space="preserve">，增长2.30%</w:t>
      </w:r>
      <w:r>
        <w:rPr>
          <w:rFonts w:eastAsia="仿宋_GB2312" w:hint="eastAsia"/>
          <w:sz w:val="30"/>
          <w:szCs w:val="30"/>
          <w:highlight w:val="none"/>
          <w:lang w:val="en-US" w:eastAsia="zh-CN"/>
        </w:rPr>
        <w:t xml:space="preserve">，主要原因是天津市机电工艺技师学院在校学生人数增加，支出增加。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2025年度一般公共预算财政拨款支出363,126,408.29元，主要用于以下方面：</w:t>
      </w:r>
      <w:r>
        <w:rPr>
          <w:rFonts w:eastAsia="仿宋_GB2312" w:hint="eastAsia"/>
          <w:sz w:val="30"/>
          <w:szCs w:val="30"/>
          <w:highlight w:val="none"/>
        </w:rPr>
        <w:t xml:space="preserve">教育支出（类）支出323,046,460.00元，占88.96%，科学技术支出（类）支出631,392.60元，占0.17%，社会保障和就业支出（类）支出19,710,081.68元，占5.43%，卫生健康支出（类）支出19,720,274.01元，占5.43%，债务付息支出（类）支出18,200.00元，占0.01%</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2025年度一般公共预算财政拨款支出年初预算为348,016,200.00元，支出决算为363,126,408.29元</w:t>
      </w:r>
      <w:r>
        <w:rPr>
          <w:rFonts w:eastAsia="仿宋_GB2312" w:hint="eastAsia"/>
          <w:sz w:val="30"/>
          <w:szCs w:val="30"/>
          <w:highlight w:val="none"/>
          <w:lang w:val="en-US" w:eastAsia="zh-CN"/>
        </w:rPr>
        <w:t xml:space="preserve">，完成年初预算的104.34%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职业教育（款）中等职业教育（项）年初预算为11,555,100.00元，支出决算为10,983,000.00元，完成年初预算的95.05%，决算数小于年初预算数的主要原因是：天津市机电工艺技师学院学生资助项目根据学生人数调整实际拨款金额。</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教育支出（类）职业教育（款）技校教育（项）年初预算为153,486,000.00元，支出决算为153,384,450.00元，完成年初预算的99.93%，决算数小于年初预算数的主要原因是：天津市机电工艺技师学院学生资助项目根据学生人数调整实际拨款金额。</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教育支出（类）职业教育（款）高等职业教育（项）年初预算为152,317,900.00元，支出决算为158,679,010.00元，完成年初预算的104.18%，决算数大于年初预算数的主要原因是：天津机电职业技术学院年中追加“现代职业教育质量提升计划资金——中央专款”“学生资助补助资金——中央专款”“2025年外国留学生政府奖学金”项目资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4.科学技术支出（类）其他科学技术支出（款）转制科研机构（项）年初预算为657,000.00元，支出决算为631,392.60元，完成年初预算的96.10%，决算数小于年初预算数的主要原因是：退休人员减少。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5.社会保障和就业支出（类）行政事业单位养老支出（款）行政单位离退休（项）年初预算为2,289,000.00元，支出决算为2,017,743.68元，完成年初预算的88.15%，决算数小于年初预算数的主要原因是：离退休人员减少。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社会保障和就业支出（类）行政事业单位养老支出（款）机关事业单位基本养老保险缴费支出（项）年初预算为10,812,000.00元，支出决算为10,812,000.00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社会保障和就业支出（类）行政事业单位养老支出（款）机关事业单位职业年金缴费支出（项）年初预算为5,406,000.00元，支出决算为5,406,000.00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8.社会保障和就业支出（类）其他社会保障和就业支出（款）其他社会保障和就业支出（项）年初预算为0.00元，支出决算为1,474,338.00元，决算数大于年初预算数的主要原因是：财政拨款追加离退休人员费用。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9.卫生健康支出（类）行政事业单位医疗（款）行政单位医疗（项）年初预算为180,000.00元，支出决算为706,800.00元，完成年初预算的392.67%，决算数大于年初预算数的主要原因是：财政拨款追加离退休人员医药费。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卫生健康支出（类）行政事业单位医疗（款）事业单位医疗（项）年初预算为7,155,000.00元，支出决算为14,873,474.01元，完成年初预算的207.88%，决算数大于年初预算数的主要原因是：财政拨款追加离退休人员医药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卫生健康支出（类）行政事业单位医疗（款）其他行政事业单位医疗支出（项）年初预算为4,140,000.00元，支出决算为4,140,000.00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12.债务付息支出（类）地方政府一般债务付息支出（款）地方政府一般债券付息支出（项）年初预算为18,200.00元，支出决算为18,200.00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天津百利机械装备集团有限公司2025年度一般公共预算财政拨款基本支出合计302,807,410.29元，与2024年度相比</w:t>
      </w:r>
      <w:r>
        <w:rPr>
          <w:rFonts w:eastAsia="仿宋_GB2312" w:hint="eastAsia"/>
          <w:sz w:val="30"/>
          <w:szCs w:val="30"/>
          <w:highlight w:val="none"/>
          <w:lang w:val="en-US" w:eastAsia="zh-CN"/>
        </w:rPr>
        <w:t xml:space="preserve">增加7,126,527.31元，</w:t>
      </w:r>
      <w:r>
        <w:rPr>
          <w:rFonts w:eastAsia="仿宋_GB2312" w:hint="eastAsia"/>
          <w:sz w:val="30"/>
          <w:szCs w:val="30"/>
          <w:highlight w:val="none"/>
          <w:lang w:val="en-US" w:eastAsia="zh-CN"/>
        </w:rPr>
        <w:t xml:space="preserve">主要原因是天津市机电工艺技师学院在校学生人数增加，支出增加。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人员经费250,070,410.29元，主要包括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基本工资、津贴补贴、绩效工资、机关事业单位基本养老保险缴费、职业年金缴费、职工基本医疗保险缴费、其他社会保障缴费、住房公积金、医疗费、离休费、退休费、抚恤金、生活补助、医疗费补助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公用经费52,737,000.00元，主要包括</w:t>
      </w:r>
      <w:r>
        <w:rPr>
          <w:rFonts w:eastAsia="仿宋_GB2312" w:hint="eastAsia"/>
          <w:sz w:val="30"/>
          <w:szCs w:val="30"/>
          <w:highlight w:val="none"/>
          <w:lang w:val="en-US" w:eastAsia="zh-CN"/>
        </w:rPr>
        <w:t xml:space="preserve">办公费、印刷费、水费、电费、邮电费、取暖费、物业管理费、维修(护)费、培训费、专用材料费、劳务费、委托业务费、工会经费、福利费、其他商品和服务支出、办公设备购置、专用设备购置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决算数与预算数持平的主要原因是本年度未安排因公出国（境）任务；</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决算数与预算数持平的主要原因是本年度未用财政拨款经费列支公务用车购置费及公务用车运行维护费；</w:t>
      </w:r>
      <w:r>
        <w:rPr>
          <w:rFonts w:eastAsia="仿宋_GB2312" w:hint="eastAsia"/>
          <w:sz w:val="30"/>
          <w:szCs w:val="30"/>
          <w:highlight w:val="none"/>
          <w:lang w:val="en-US" w:eastAsia="zh-CN"/>
        </w:rPr>
        <w:t xml:space="preserve">决算数较上年持平的主要原因是本年度未用财政拨款经费列支公务用车购置费及公务用车运行维护费。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百利机械装备集团有限公司2025年政府采购支出总额46,328,679.53元，其中：政府采购货物支出22,101,637.20元、政府采购工程支出2,566,421.00元、政府采购服务支出21,660,621.33元。授予中小企业合同金额30,699,662.53元，占政府采购支出总额的66.26%，其中：授予小微企业合同金额28,177,576.53元，占政府采购支出总额的60.82%；货物采购授予中小企业合同金额占货物支出金额的41.05%，工程采购授予中小企业合同金额占工程支出金额的100.00%，服务采购授予中小企业合同金额占服务支出金额的88.00%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截至2025年12月31日，天津百利机械装备集团有限公司共有车辆15辆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其他用车15辆</w:t>
      </w:r>
      <w:r>
        <w:rPr>
          <w:rFonts w:eastAsia="仿宋_GB2312" w:hint="eastAsia"/>
          <w:sz w:val="30"/>
          <w:szCs w:val="30"/>
          <w:highlight w:val="none"/>
          <w:lang w:val="en-US" w:eastAsia="zh-CN"/>
        </w:rPr>
        <w:t xml:space="preserve">，其他用车主要包括后勤服务用车、业务用车</w:t>
      </w:r>
      <w:r>
        <w:rPr>
          <w:rFonts w:eastAsia="仿宋_GB2312" w:hint="eastAsia"/>
          <w:sz w:val="30"/>
          <w:szCs w:val="30"/>
          <w:highlight w:val="none"/>
          <w:lang w:val="en-US" w:eastAsia="zh-CN"/>
        </w:rPr>
        <w:t xml:space="preserve">。单价100万元以上的设备29台（套）。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根据预算绩效管理要求，天津百利机械装备集团有限公司已对31个2025年度市级项目开展绩效自评，涉及金额60,318,998.00元，自评结果已随部门决算一并公开。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天津百利机械装备集团有限公司不属于乡、镇、街级单位，不涉及公开2025年度教育、医疗卫生、社会保障和就业、住房保障、涉农补贴等民生支出情况。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4D7D6821-7AAE-4B39-A3F3-24DD566F57AF}"/>
    <w:embedBold r:id="rId2" w:subsetted="1" w:fontKey="{50E2C31D-3958-4C22-8042-3D592401D964}"/>
  </w:font>
  <w:font w:name="Cambria">
    <w:panose1 w:val="02040503050406030204"/>
    <w:charset w:val="00"/>
    <w:family w:val="roman"/>
    <w:pitch w:val="default"/>
    <w:sig w:usb0="E00006FF" w:usb1="420024FF" w:usb2="02000000" w:usb3="00000000" w:csb0="2000019F" w:csb1="00000000"/>
    <w:embedRegular r:id="rId3" w:fontKey="{5328385A-D019-4775-A7A5-6E2F227BEC81}"/>
  </w:font>
  <w:font w:name="Calibri">
    <w:panose1 w:val="020F0502020204030204"/>
    <w:charset w:val="00"/>
    <w:family w:val="swiss"/>
    <w:pitch w:val="default"/>
    <w:sig w:usb0="E4002EFF" w:usb1="C200247B" w:usb2="00000009" w:usb3="00000000" w:csb0="200001FF" w:csb1="00000000"/>
    <w:embedRegular r:id="rId4" w:fontKey="{0CBF41BA-04A3-44EA-B60F-FC6208F11BD8}"/>
  </w:font>
  <w:font w:name="黑体">
    <w:panose1 w:val="02010609060101010101"/>
    <w:charset w:val="FFFFFF86"/>
    <w:family w:val="auto"/>
    <w:pitch w:val="default"/>
    <w:sig w:usb0="800002BF" w:usb1="38CF7CFA" w:usb2="00000016" w:usb3="00000000" w:csb0="00040001" w:csb1="00000000"/>
    <w:embedRegular r:id="rId5" w:subsetted="1" w:fontKey="{497010BA-1669-4A35-A73B-D7712FBDE890}"/>
    <w:embedBold r:id="rId6" w:subsetted="1" w:fontKey="{BC415343-18F3-4F51-B05F-8FBC9F6B2EBC}"/>
  </w:font>
  <w:font w:name="方正小标宋简体">
    <w:altName w:val="黑体"/>
    <w:panose1 w:val="02000000000000000000"/>
    <w:charset w:val="FFFFFF86"/>
    <w:family w:val="auto"/>
    <w:pitch w:val="default"/>
    <w:sig w:usb0="00000001" w:usb1="08000000" w:usb2="00000000" w:usb3="00000000" w:csb0="00040000" w:csb1="00000000"/>
    <w:embedRegular r:id="rId7" w:fontKey="{5A486B95-9112-47CC-AF41-AD7425989DC3}"/>
    <w:embedBold r:id="rId8" w:fontKey="{95E8D36B-7B86-4A00-A655-E28E62109A54}"/>
  </w:font>
  <w:font w:name="仿宋">
    <w:panose1 w:val="02010609060101010101"/>
    <w:charset w:val="FFFFFF86"/>
    <w:family w:val="auto"/>
    <w:pitch w:val="default"/>
    <w:sig w:usb0="800002BF" w:usb1="38CF7CFA" w:usb2="00000016" w:usb3="00000000" w:csb0="00040001" w:csb1="00000000"/>
    <w:embedRegular r:id="rId9" w:subsetted="1" w:fontKey="{34C01CC3-0642-4199-AEA0-77AAFE112E44}"/>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72536035-1CDE-4B83-8676-05BDEF52461B}"/>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3220EAC8-16CA-4EE9-B20D-72F32F3F70C0}"/>
    <w:embedBold r:id="rId12" w:subsetted="1" w:fontKey="{4E3AA8D6-FA36-46AF-BCC2-46CDFAE49AF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30</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33</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